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207">
      <w:pPr>
        <w:pStyle w:val="2"/>
        <w:rPr>
          <w:rFonts w:eastAsia="Times New Roman"/>
        </w:rPr>
      </w:pPr>
      <w:bookmarkStart w:id="0" w:name="_GoBack"/>
      <w:bookmarkEnd w:id="0"/>
      <w:r>
        <w:rPr>
          <w:rFonts w:eastAsia="Times New Roman"/>
        </w:rPr>
        <w:t>Информация Минтруда России от 4 марта 2013 г.</w:t>
      </w:r>
    </w:p>
    <w:p w:rsidR="00000000" w:rsidRDefault="00031207">
      <w:pPr>
        <w:pStyle w:val="1"/>
        <w:rPr>
          <w:rFonts w:eastAsia="Times New Roman"/>
        </w:rPr>
      </w:pPr>
      <w:r>
        <w:rPr>
          <w:rFonts w:eastAsia="Times New Roman"/>
        </w:rPr>
        <w:t xml:space="preserve">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w:t>
      </w:r>
      <w:r>
        <w:rPr>
          <w:rFonts w:eastAsia="Times New Roman"/>
        </w:rPr>
        <w:t>взятку или как просьба о даче взятки</w:t>
      </w:r>
    </w:p>
    <w:p w:rsidR="00000000" w:rsidRDefault="00031207">
      <w:pPr>
        <w:pStyle w:val="shorttitle"/>
      </w:pPr>
      <w:r>
        <w:t>(актуализирован в июле 2015 г., внесены дополнения по вопросу ответственности за подкуп иностранных должностных лиц)</w:t>
      </w:r>
    </w:p>
    <w:p w:rsidR="00000000" w:rsidRDefault="00031207">
      <w:pPr>
        <w:pStyle w:val="a3"/>
        <w:divId w:val="549003781"/>
      </w:pPr>
      <w:r>
        <w:rPr>
          <w:b/>
          <w:bCs/>
        </w:rPr>
        <w:t>I. </w:t>
      </w:r>
      <w:r>
        <w:rPr>
          <w:b/>
          <w:bCs/>
        </w:rPr>
        <w:t>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000000" w:rsidRDefault="00031207">
      <w:pPr>
        <w:pStyle w:val="a3"/>
        <w:divId w:val="549003781"/>
      </w:pPr>
      <w:r>
        <w:t xml:space="preserve">Российская Федерация реализует принятые </w:t>
      </w:r>
      <w:r>
        <w:t>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w:t>
      </w:r>
      <w:r>
        <w:t>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w:t>
      </w:r>
      <w:r>
        <w:t>авонарушения.</w:t>
      </w:r>
    </w:p>
    <w:p w:rsidR="00000000" w:rsidRDefault="00031207">
      <w:pPr>
        <w:pStyle w:val="a3"/>
        <w:divId w:val="549003781"/>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w:t>
      </w:r>
      <w:r>
        <w:t>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000000" w:rsidRDefault="00031207">
      <w:pPr>
        <w:pStyle w:val="a3"/>
        <w:divId w:val="549003781"/>
      </w:pPr>
      <w:r>
        <w:t>В соответствии со статьей 3 Конвенции Совета Европы об уголовной отв</w:t>
      </w:r>
      <w:r>
        <w:t>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w:t>
      </w:r>
      <w:r>
        <w:t xml:space="preserve">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w:t>
      </w:r>
      <w:r>
        <w:t>ось от их совершения при осуществлении своих функций.</w:t>
      </w:r>
    </w:p>
    <w:p w:rsidR="00000000" w:rsidRDefault="00031207">
      <w:pPr>
        <w:pStyle w:val="a3"/>
        <w:divId w:val="549003781"/>
      </w:pPr>
      <w: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w:t>
      </w:r>
      <w:r>
        <w:t>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w:t>
      </w:r>
      <w:r>
        <w:t>ствия коррупции» (далее – Федеральный закон № 97-ФЗ).</w:t>
      </w:r>
    </w:p>
    <w:p w:rsidR="00000000" w:rsidRDefault="00031207">
      <w:pPr>
        <w:pStyle w:val="a3"/>
        <w:divId w:val="549003781"/>
      </w:pPr>
      <w: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w:t>
      </w:r>
      <w:r>
        <w:t xml:space="preserve">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000000" w:rsidRDefault="00031207">
      <w:pPr>
        <w:pStyle w:val="a3"/>
        <w:divId w:val="549003781"/>
      </w:pPr>
      <w:r>
        <w:t>Уголовная ответственность за полу</w:t>
      </w:r>
      <w:r>
        <w:t>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000000" w:rsidRDefault="00031207">
      <w:pPr>
        <w:pStyle w:val="a3"/>
        <w:divId w:val="549003781"/>
      </w:pPr>
      <w:r>
        <w:t xml:space="preserve">Согласно пункту 2 примечания к статье 290 УК РФ под иностранным должностным лицом в указанной статье, статьях </w:t>
      </w:r>
      <w:r>
        <w:t>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w:t>
      </w:r>
      <w:r>
        <w:t xml:space="preserve">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w:t>
      </w:r>
      <w:r>
        <w:t>твовать от ее имени.</w:t>
      </w:r>
    </w:p>
    <w:p w:rsidR="00000000" w:rsidRDefault="00031207">
      <w:pPr>
        <w:pStyle w:val="a3"/>
        <w:divId w:val="549003781"/>
      </w:pPr>
      <w: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w:t>
      </w:r>
      <w:r>
        <w:t>ия между взяткодателем и (или) взяткополучателем либо в реализации такого соглашения.</w:t>
      </w:r>
    </w:p>
    <w:p w:rsidR="00000000" w:rsidRDefault="00031207">
      <w:pPr>
        <w:pStyle w:val="a3"/>
        <w:divId w:val="549003781"/>
      </w:pPr>
      <w: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w:t>
      </w:r>
      <w:r>
        <w:t>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000000" w:rsidRDefault="00031207">
      <w:pPr>
        <w:pStyle w:val="a3"/>
        <w:divId w:val="549003781"/>
      </w:pPr>
      <w:r>
        <w:t>Под коммерческим подкупом и взяткой в УК РФ понимается незаконные передача лицу</w:t>
      </w:r>
      <w:r>
        <w:t xml:space="preserve">,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w:t>
      </w:r>
      <w:r>
        <w:t>связи с 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w:t>
      </w:r>
      <w:r>
        <w:t>сти используемых полномочий и характеру принимаемого решения.</w:t>
      </w:r>
    </w:p>
    <w:p w:rsidR="00000000" w:rsidRDefault="00031207">
      <w:pPr>
        <w:pStyle w:val="a3"/>
        <w:divId w:val="549003781"/>
      </w:pPr>
      <w:r>
        <w:t xml:space="preserve">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w:t>
      </w:r>
      <w:r>
        <w:t>активно способствовало раскрытию и (или) расследованию преступления».</w:t>
      </w:r>
    </w:p>
    <w:p w:rsidR="00000000" w:rsidRDefault="00031207">
      <w:pPr>
        <w:pStyle w:val="a3"/>
        <w:divId w:val="549003781"/>
      </w:pPr>
      <w:r>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w:t>
      </w:r>
      <w:r>
        <w:t>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r>
        <w:t>,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w:t>
      </w:r>
      <w:r>
        <w:t xml:space="preserve">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w:t>
      </w:r>
      <w:r>
        <w:t>служебный подлог, фальсификацию доказательств и т.п.</w:t>
      </w:r>
    </w:p>
    <w:p w:rsidR="00000000" w:rsidRDefault="00031207">
      <w:pPr>
        <w:pStyle w:val="a3"/>
        <w:divId w:val="549003781"/>
      </w:pPr>
      <w: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w:t>
      </w:r>
      <w:r>
        <w:t>х правонарушениях (далее – КоАП РФ).</w:t>
      </w:r>
    </w:p>
    <w:p w:rsidR="00000000" w:rsidRDefault="00031207">
      <w:pPr>
        <w:pStyle w:val="a3"/>
        <w:divId w:val="549003781"/>
      </w:pPr>
      <w: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w:t>
      </w:r>
      <w:r>
        <w:t>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w:t>
      </w:r>
      <w:r>
        <w:t>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w:t>
      </w:r>
      <w:r>
        <w:t>ной международной организации действия (бездействия), связанного с занимаемым ими служебным положением.</w:t>
      </w:r>
    </w:p>
    <w:p w:rsidR="00000000" w:rsidRDefault="00031207">
      <w:pPr>
        <w:pStyle w:val="a3"/>
        <w:divId w:val="549003781"/>
      </w:pPr>
      <w: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w:t>
      </w:r>
      <w:r>
        <w:t>Ф и совпадает с определением, закрепленным в пункте 2 примечания к статье 290 УК РФ.</w:t>
      </w:r>
    </w:p>
    <w:p w:rsidR="00000000" w:rsidRDefault="00031207">
      <w:pPr>
        <w:pStyle w:val="a3"/>
        <w:divId w:val="549003781"/>
      </w:pPr>
      <w: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w:t>
      </w:r>
      <w:r>
        <w:t>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w:t>
      </w:r>
      <w:r>
        <w:t>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w:t>
      </w:r>
      <w:r>
        <w:t xml:space="preserve"> государством определенную, юридически закрепленную связь.</w:t>
      </w:r>
    </w:p>
    <w:p w:rsidR="00000000" w:rsidRDefault="00031207">
      <w:pPr>
        <w:pStyle w:val="a3"/>
        <w:divId w:val="549003781"/>
      </w:pPr>
      <w:r>
        <w:t xml:space="preserve">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w:t>
      </w:r>
      <w:r>
        <w:t>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6" w:history="1">
        <w:r>
          <w:rPr>
            <w:rStyle w:val="a4"/>
          </w:rPr>
          <w:t>http://www.rosmintrud.ru/ministry/programms/gossluzhba/antikorr/5/0</w:t>
        </w:r>
      </w:hyperlink>
      <w:r>
        <w:t>).</w:t>
      </w:r>
    </w:p>
    <w:p w:rsidR="00000000" w:rsidRDefault="00031207">
      <w:pPr>
        <w:pStyle w:val="a3"/>
        <w:divId w:val="549003781"/>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w:t>
      </w:r>
      <w:r>
        <w:t>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000000" w:rsidRDefault="00031207">
      <w:pPr>
        <w:pStyle w:val="a3"/>
        <w:divId w:val="549003781"/>
      </w:pPr>
      <w:r>
        <w:t>Для предупреждения подобных негативных последствий лицам, замещающим госуд</w:t>
      </w:r>
      <w:r>
        <w:t>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w:t>
      </w:r>
      <w:r>
        <w:t>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w:t>
      </w:r>
      <w:r>
        <w:t>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w:t>
      </w:r>
      <w:r>
        <w:t xml:space="preserve">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00000" w:rsidRDefault="00031207">
      <w:pPr>
        <w:pStyle w:val="a3"/>
        <w:divId w:val="549003781"/>
      </w:pPr>
      <w:r>
        <w:t>В соответствии с Федеральным законом от 25 декабря 2008 г. № 273-ФЗ «О противодействии коррупци</w:t>
      </w:r>
      <w:r>
        <w:t>и» одним из основных принципов противодействия коррупции определена приоритетность мер по ее профилактике.</w:t>
      </w:r>
    </w:p>
    <w:p w:rsidR="00000000" w:rsidRDefault="00031207">
      <w:pPr>
        <w:pStyle w:val="a3"/>
        <w:divId w:val="549003781"/>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w:t>
      </w:r>
      <w:r>
        <w:t xml:space="preserve">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w:t>
      </w:r>
      <w:r>
        <w:t xml:space="preserve">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000000" w:rsidRDefault="00031207">
      <w:pPr>
        <w:pStyle w:val="a3"/>
        <w:divId w:val="549003781"/>
      </w:pPr>
      <w:r>
        <w:t>Мероприятия, включенные в комплекс мер, рекомендуется осуществлять по следующим направ</w:t>
      </w:r>
      <w:r>
        <w:t>лениям:</w:t>
      </w:r>
    </w:p>
    <w:p w:rsidR="00000000" w:rsidRDefault="00031207">
      <w:pPr>
        <w:pStyle w:val="a3"/>
        <w:divId w:val="549003781"/>
      </w:pPr>
      <w:r>
        <w:t xml:space="preserve">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w:t>
      </w:r>
      <w:r>
        <w:t>за незаконное вознаграждение от имени юридического лица, в том числе за подкуп иностранных должностных лиц;</w:t>
      </w:r>
    </w:p>
    <w:p w:rsidR="00000000" w:rsidRDefault="00031207">
      <w:pPr>
        <w:pStyle w:val="a3"/>
        <w:divId w:val="549003781"/>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w:t>
      </w:r>
      <w:r>
        <w:t>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000000" w:rsidRDefault="00031207">
      <w:pPr>
        <w:pStyle w:val="a3"/>
        <w:divId w:val="549003781"/>
      </w:pPr>
      <w:r>
        <w:t>3) закрепление в локальных правовых актах э</w:t>
      </w:r>
      <w:r>
        <w:t>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000000" w:rsidRDefault="00031207">
      <w:pPr>
        <w:pStyle w:val="a3"/>
        <w:divId w:val="549003781"/>
      </w:pPr>
      <w:r>
        <w:t>4) </w:t>
      </w:r>
      <w:r>
        <w:t>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000000" w:rsidRDefault="00031207">
      <w:pPr>
        <w:pStyle w:val="a3"/>
        <w:divId w:val="549003781"/>
      </w:pPr>
      <w:r>
        <w:t>Основными задачами осуществления комплекса мер являются:</w:t>
      </w:r>
    </w:p>
    <w:p w:rsidR="00000000" w:rsidRDefault="00031207">
      <w:pPr>
        <w:pStyle w:val="a3"/>
        <w:divId w:val="549003781"/>
      </w:pPr>
      <w:r>
        <w:t>а)</w:t>
      </w:r>
      <w:r>
        <w:t>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w:t>
      </w:r>
      <w:r>
        <w:t>тки либо как согласие принять взятку или как просьба о даче взятки;</w:t>
      </w:r>
    </w:p>
    <w:p w:rsidR="00000000" w:rsidRDefault="00031207">
      <w:pPr>
        <w:pStyle w:val="a3"/>
        <w:divId w:val="549003781"/>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w:t>
      </w:r>
      <w:r>
        <w:t>спечивающих снижение уровня коррупции;</w:t>
      </w:r>
    </w:p>
    <w:p w:rsidR="00000000" w:rsidRDefault="00031207">
      <w:pPr>
        <w:pStyle w:val="a3"/>
        <w:divId w:val="549003781"/>
      </w:pPr>
      <w:r>
        <w:t xml:space="preserve">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w:t>
      </w:r>
      <w:r>
        <w:t>Российской Федерации. </w:t>
      </w:r>
    </w:p>
    <w:p w:rsidR="00000000" w:rsidRDefault="00031207">
      <w:pPr>
        <w:pStyle w:val="a3"/>
        <w:divId w:val="549003781"/>
      </w:pPr>
      <w:r>
        <w:rPr>
          <w:b/>
          <w:bCs/>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00000" w:rsidRDefault="00031207">
      <w:pPr>
        <w:pStyle w:val="a3"/>
        <w:divId w:val="549003781"/>
      </w:pPr>
      <w:r>
        <w:rPr>
          <w:u w:val="single"/>
        </w:rPr>
        <w:t>1. Ин</w:t>
      </w:r>
      <w:r>
        <w:rPr>
          <w:u w:val="single"/>
        </w:rPr>
        <w:t>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w:t>
      </w:r>
      <w:r>
        <w:rPr>
          <w:u w:val="single"/>
        </w:rPr>
        <w:t xml:space="preserve"> вознаграждение от имени юридического лица, в том числе за подкуп иностранных должностных лиц.</w:t>
      </w:r>
    </w:p>
    <w:p w:rsidR="00000000" w:rsidRDefault="00031207">
      <w:pPr>
        <w:pStyle w:val="a3"/>
        <w:divId w:val="549003781"/>
      </w:pPr>
      <w:r>
        <w:t>Реализацию данного направления рекомендуется осуществлять посредством:</w:t>
      </w:r>
    </w:p>
    <w:p w:rsidR="00000000" w:rsidRDefault="00031207">
      <w:pPr>
        <w:numPr>
          <w:ilvl w:val="0"/>
          <w:numId w:val="1"/>
        </w:numPr>
        <w:spacing w:after="75"/>
        <w:ind w:left="1320"/>
        <w:divId w:val="549003781"/>
      </w:pPr>
      <w:r>
        <w:t>проведения серии учебно-практических семинаров (тренингов);</w:t>
      </w:r>
    </w:p>
    <w:p w:rsidR="00000000" w:rsidRDefault="00031207">
      <w:pPr>
        <w:numPr>
          <w:ilvl w:val="0"/>
          <w:numId w:val="1"/>
        </w:numPr>
        <w:spacing w:after="75"/>
        <w:ind w:left="1320"/>
        <w:divId w:val="549003781"/>
      </w:pPr>
      <w:r>
        <w:t>разработки методических рекоме</w:t>
      </w:r>
      <w:r>
        <w:t>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000000" w:rsidRDefault="00031207">
      <w:pPr>
        <w:pStyle w:val="a3"/>
        <w:divId w:val="549003781"/>
      </w:pPr>
      <w:r>
        <w:t>1.1. В рамках серии учебно-практических семинаров является целесообраз</w:t>
      </w:r>
      <w:r>
        <w:t>ным рассмотрение следующих вопросов.</w:t>
      </w:r>
    </w:p>
    <w:p w:rsidR="00000000" w:rsidRDefault="00031207">
      <w:pPr>
        <w:pStyle w:val="a3"/>
        <w:divId w:val="549003781"/>
      </w:pPr>
      <w: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w:t>
      </w:r>
      <w:r>
        <w:t>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w:t>
      </w:r>
      <w:r>
        <w:t>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w:t>
      </w:r>
      <w:r>
        <w:t xml:space="preserve"> судебной практике по делам о взяточничестве и коммерческом подкупе» (далее – Постановление Пленума ВС РФ № 6)).</w:t>
      </w:r>
    </w:p>
    <w:p w:rsidR="00000000" w:rsidRDefault="00031207">
      <w:pPr>
        <w:pStyle w:val="a3"/>
        <w:divId w:val="549003781"/>
      </w:pPr>
      <w:r>
        <w:t>2) Понятие незаконного вознаграждения. Необходимо обратить внимание служащих и работников на то, что помимо понятия взятка в действующем россий</w:t>
      </w:r>
      <w:r>
        <w:t>ском законодательстве используется такое понятие как «незаконное вознаграждение от имени юридического лица».</w:t>
      </w:r>
    </w:p>
    <w:p w:rsidR="00000000" w:rsidRDefault="00031207">
      <w:pPr>
        <w:pStyle w:val="a3"/>
        <w:divId w:val="549003781"/>
      </w:pPr>
      <w:r>
        <w:t>В соответствии со статьей 19.28 КоАП РФ под незаконным вознаграждением от имени юридического лица понимаются незаконные передача, предложение или о</w:t>
      </w:r>
      <w:r>
        <w:t>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w:t>
      </w:r>
      <w:r>
        <w:t xml:space="preserve"> действия (бездействие), связанного с занимаемым ими служебным положением.</w:t>
      </w:r>
    </w:p>
    <w:p w:rsidR="00000000" w:rsidRDefault="00031207">
      <w:pPr>
        <w:pStyle w:val="a3"/>
        <w:divId w:val="549003781"/>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w:t>
      </w:r>
      <w:r>
        <w:t>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00000" w:rsidRDefault="00031207">
      <w:pPr>
        <w:pStyle w:val="a3"/>
        <w:divId w:val="549003781"/>
      </w:pPr>
      <w:r>
        <w:t>3) Понятие покушения на получение взятки. Необходимо обратить внимание служащ</w:t>
      </w:r>
      <w:r>
        <w:t xml:space="preserve">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w:t>
      </w:r>
      <w:r>
        <w:t>вознаграждение при коммерческом подкупе (пункт 11 Постановления Пленума ВС РФ № 6).</w:t>
      </w:r>
    </w:p>
    <w:p w:rsidR="00000000" w:rsidRDefault="00031207">
      <w:pPr>
        <w:pStyle w:val="a3"/>
        <w:divId w:val="549003781"/>
      </w:pPr>
      <w: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w:t>
      </w:r>
      <w:r>
        <w:t>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000000" w:rsidRDefault="00031207">
      <w:pPr>
        <w:pStyle w:val="a3"/>
        <w:divId w:val="549003781"/>
      </w:pPr>
      <w:r>
        <w:t>5) Понятие вымогательства взятки. Не</w:t>
      </w:r>
      <w:r>
        <w:t>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w:t>
      </w:r>
      <w:r>
        <w:t xml:space="preserve">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w:t>
      </w:r>
      <w:r>
        <w:t>кт 15 Постановления Пленума ВС РФ № 6).</w:t>
      </w:r>
    </w:p>
    <w:p w:rsidR="00000000" w:rsidRDefault="00031207">
      <w:pPr>
        <w:pStyle w:val="a3"/>
        <w:divId w:val="549003781"/>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w:t>
      </w:r>
      <w:r>
        <w:t>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w:t>
      </w:r>
      <w:r>
        <w:t>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w:t>
      </w:r>
      <w:r>
        <w:t>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000000" w:rsidRDefault="00031207">
      <w:pPr>
        <w:pStyle w:val="a3"/>
        <w:divId w:val="549003781"/>
      </w:pPr>
      <w:r>
        <w:t xml:space="preserve">7) Исторические материалы по вышеуказанным вопросам, изложенным в Своде </w:t>
      </w:r>
      <w:r>
        <w:t>законов Российской Империи (Том III).</w:t>
      </w:r>
    </w:p>
    <w:p w:rsidR="00000000" w:rsidRDefault="00031207">
      <w:pPr>
        <w:pStyle w:val="a3"/>
        <w:divId w:val="549003781"/>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w:t>
      </w:r>
      <w:r>
        <w:t>енного направления.</w:t>
      </w:r>
    </w:p>
    <w:p w:rsidR="00000000" w:rsidRDefault="00031207">
      <w:pPr>
        <w:pStyle w:val="a3"/>
        <w:divId w:val="549003781"/>
      </w:pPr>
      <w:r>
        <w:t>Так в частности предлагается подготовить памятки для служащих и работников по следующим вопросам:</w:t>
      </w:r>
    </w:p>
    <w:p w:rsidR="00000000" w:rsidRDefault="00031207">
      <w:pPr>
        <w:pStyle w:val="a3"/>
        <w:divId w:val="549003781"/>
      </w:pPr>
      <w:r>
        <w:t>1) уголовная ответственность за получение и дачу взятки», в которой изложить вопросы применения мер уголовной ответственности за получение</w:t>
      </w:r>
      <w:r>
        <w:t xml:space="preserve"> и дачу взятки и мер административной ответственности за незаконное вознаграждение от имени юридического лица;</w:t>
      </w:r>
    </w:p>
    <w:p w:rsidR="00000000" w:rsidRDefault="00031207">
      <w:pPr>
        <w:pStyle w:val="a3"/>
        <w:divId w:val="549003781"/>
      </w:pPr>
      <w:r>
        <w:t>2) сборник положений нормативных правовых актов, регулирующих вопросы применения ответственности за получение и дачу взятки и незаконного вознагр</w:t>
      </w:r>
      <w:r>
        <w:t>аждения, в том числе: статьи 290, 291, 291.1 УК РФ; статьи 19.28 КоАп РФ; пункты 9, 11, 15 Постановления Пленума ВС РФ № 6.</w:t>
      </w:r>
    </w:p>
    <w:p w:rsidR="00000000" w:rsidRDefault="00031207">
      <w:pPr>
        <w:pStyle w:val="a3"/>
        <w:divId w:val="549003781"/>
      </w:pPr>
      <w:r>
        <w:t>Памятки представляется целесообразным сформулировать на основе типовых жизненных ситуаций. Они должны быть краткими, написанными дос</w:t>
      </w:r>
      <w:r>
        <w:t>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w:t>
      </w:r>
      <w:r>
        <w:t>ки на соответствующие положения нормативных правовых актов.</w:t>
      </w:r>
    </w:p>
    <w:p w:rsidR="00000000" w:rsidRDefault="00031207">
      <w:pPr>
        <w:pStyle w:val="a3"/>
        <w:divId w:val="549003781"/>
      </w:pPr>
      <w:r>
        <w:rPr>
          <w:u w:val="single"/>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w:t>
      </w:r>
      <w:r>
        <w:rPr>
          <w:u w:val="single"/>
        </w:rPr>
        <w:t>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000000" w:rsidRDefault="00031207">
      <w:pPr>
        <w:pStyle w:val="a3"/>
        <w:divId w:val="549003781"/>
      </w:pPr>
      <w:r>
        <w:t>Обеспечение информирования служащих и работников об установленных действующим законодательс</w:t>
      </w:r>
      <w:r>
        <w:t>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000000" w:rsidRDefault="00031207">
      <w:pPr>
        <w:pStyle w:val="a3"/>
        <w:divId w:val="549003781"/>
      </w:pPr>
      <w:r>
        <w:t xml:space="preserve">2.1. В рамках учебных семинаров (бесед, лекций, практических занятий) следует разъяснять процедуры и </w:t>
      </w:r>
      <w:r>
        <w:t>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000000" w:rsidRDefault="00031207">
      <w:pPr>
        <w:pStyle w:val="a3"/>
        <w:divId w:val="549003781"/>
      </w:pPr>
      <w:r>
        <w:t>В части организации семинаров (бесед, лекций, практических занятий) необходимо рассмотреть следующие вопросы.</w:t>
      </w:r>
    </w:p>
    <w:p w:rsidR="00000000" w:rsidRDefault="00031207">
      <w:pPr>
        <w:pStyle w:val="a3"/>
        <w:divId w:val="549003781"/>
      </w:pPr>
      <w:r>
        <w:t>1) Порядок уведомления служащего и работника о фактах склонения к совершению коррупционного правонарушения.</w:t>
      </w:r>
    </w:p>
    <w:p w:rsidR="00000000" w:rsidRDefault="00031207">
      <w:pPr>
        <w:pStyle w:val="a3"/>
        <w:divId w:val="549003781"/>
      </w:pPr>
      <w:r>
        <w:t>В ходе семинара, требуется:</w:t>
      </w:r>
    </w:p>
    <w:p w:rsidR="00000000" w:rsidRDefault="00031207">
      <w:pPr>
        <w:pStyle w:val="a3"/>
        <w:divId w:val="549003781"/>
      </w:pPr>
      <w:r>
        <w:t>а) напомни</w:t>
      </w:r>
      <w:r>
        <w:t>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000000" w:rsidRDefault="00031207">
      <w:pPr>
        <w:pStyle w:val="a3"/>
        <w:divId w:val="549003781"/>
      </w:pPr>
      <w:r>
        <w:t>б) указать служащим и работникам на то, что уведомление обо всех ситуациях склонения к коррупционным пра</w:t>
      </w:r>
      <w:r>
        <w:t>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w:t>
      </w:r>
      <w:r>
        <w:t>зацией;</w:t>
      </w:r>
    </w:p>
    <w:p w:rsidR="00000000" w:rsidRDefault="00031207">
      <w:pPr>
        <w:pStyle w:val="a3"/>
        <w:divId w:val="549003781"/>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000000" w:rsidRDefault="00031207">
      <w:pPr>
        <w:pStyle w:val="a3"/>
        <w:divId w:val="549003781"/>
      </w:pPr>
      <w:r>
        <w:t>2) Порядок урегулирования конфликта интересов.</w:t>
      </w:r>
    </w:p>
    <w:p w:rsidR="00000000" w:rsidRDefault="00031207">
      <w:pPr>
        <w:pStyle w:val="a3"/>
        <w:divId w:val="549003781"/>
      </w:pPr>
      <w:r>
        <w:t>В ходе</w:t>
      </w:r>
      <w:r>
        <w:t xml:space="preserve"> семинара, необходимо:</w:t>
      </w:r>
    </w:p>
    <w:p w:rsidR="00000000" w:rsidRDefault="00031207">
      <w:pPr>
        <w:pStyle w:val="a3"/>
        <w:divId w:val="549003781"/>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w:t>
      </w:r>
      <w:r>
        <w:t>т, в том числе, о следующих ситуациях:</w:t>
      </w:r>
    </w:p>
    <w:p w:rsidR="00000000" w:rsidRDefault="00031207">
      <w:pPr>
        <w:numPr>
          <w:ilvl w:val="0"/>
          <w:numId w:val="2"/>
        </w:numPr>
        <w:spacing w:after="75"/>
        <w:ind w:left="1320"/>
        <w:divId w:val="549003781"/>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000000" w:rsidRDefault="00031207">
      <w:pPr>
        <w:numPr>
          <w:ilvl w:val="0"/>
          <w:numId w:val="2"/>
        </w:numPr>
        <w:spacing w:after="75"/>
        <w:ind w:left="1320"/>
        <w:divId w:val="549003781"/>
      </w:pPr>
      <w:r>
        <w:t>родственники служащего или</w:t>
      </w:r>
      <w:r>
        <w:t xml:space="preserve"> работника устраиваются на работу в организацию, которая извлекла, извлекает или может извлечь выгоду его из решений или действий (бездействия);</w:t>
      </w:r>
    </w:p>
    <w:p w:rsidR="00000000" w:rsidRDefault="00031207">
      <w:pPr>
        <w:numPr>
          <w:ilvl w:val="0"/>
          <w:numId w:val="2"/>
        </w:numPr>
        <w:spacing w:after="75"/>
        <w:ind w:left="1320"/>
        <w:divId w:val="549003781"/>
      </w:pPr>
      <w:r>
        <w:t>родственники служащего или работника соглашаются принять подарок от организации, которая извлекла, извлекает ил</w:t>
      </w:r>
      <w:r>
        <w:t>и может извлечь выгоду из его  решений или действий (бездействия) и т.д.;</w:t>
      </w:r>
    </w:p>
    <w:p w:rsidR="00000000" w:rsidRDefault="00031207">
      <w:pPr>
        <w:pStyle w:val="a3"/>
        <w:divId w:val="549003781"/>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w:t>
      </w:r>
      <w:r>
        <w:t>ти к конфликту интересов, является их обязанностью;</w:t>
      </w:r>
    </w:p>
    <w:p w:rsidR="00000000" w:rsidRDefault="00031207">
      <w:pPr>
        <w:pStyle w:val="a3"/>
        <w:divId w:val="549003781"/>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000000" w:rsidRDefault="00031207">
      <w:pPr>
        <w:pStyle w:val="a3"/>
        <w:divId w:val="549003781"/>
      </w:pPr>
      <w:r>
        <w:t>3) Действия и высказывания, которые могут быть восприняты окруж</w:t>
      </w:r>
      <w:r>
        <w:t>ающими как согласие принять взятку или как просьба о даче взятки.</w:t>
      </w:r>
    </w:p>
    <w:p w:rsidR="00000000" w:rsidRDefault="00031207">
      <w:pPr>
        <w:pStyle w:val="a3"/>
        <w:divId w:val="549003781"/>
      </w:pPr>
      <w:r>
        <w:t>В ходе семинара, является целесообразным, в частности:</w:t>
      </w:r>
    </w:p>
    <w:p w:rsidR="00000000" w:rsidRDefault="00031207">
      <w:pPr>
        <w:pStyle w:val="a3"/>
        <w:divId w:val="549003781"/>
      </w:pPr>
      <w:r>
        <w:t>а) обсудить со служащими и работниками слова, выражения и жесты, которые могут быть восприняты окружающими как просьба (намек) о даче в</w:t>
      </w:r>
      <w:r>
        <w:t>зятки и указать на необходимость воздерживаться от употребления подобных выражений при взаимодействии с гражданами.</w:t>
      </w:r>
    </w:p>
    <w:p w:rsidR="00000000" w:rsidRDefault="00031207">
      <w:pPr>
        <w:pStyle w:val="a3"/>
        <w:divId w:val="549003781"/>
      </w:pPr>
      <w:r>
        <w:t>К числу таких выражений относятся, например: «вопрос решить трудно, но можно», «спасибо на хлеб не намажешь», «договоримся», «нужны более ве</w:t>
      </w:r>
      <w:r>
        <w:t>ские аргументы», «нужно обсудить параметры», «ну что делать будем?» и т.д.</w:t>
      </w:r>
    </w:p>
    <w:p w:rsidR="00000000" w:rsidRDefault="00031207">
      <w:pPr>
        <w:pStyle w:val="a3"/>
        <w:divId w:val="549003781"/>
      </w:pPr>
      <w:r>
        <w:t xml:space="preserve">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w:t>
      </w:r>
      <w:r>
        <w:t>служащих и работников, может восприниматься как просьба о даче взятки.</w:t>
      </w:r>
    </w:p>
    <w:p w:rsidR="00000000" w:rsidRDefault="00031207">
      <w:pPr>
        <w:pStyle w:val="a3"/>
        <w:divId w:val="549003781"/>
      </w:pPr>
      <w:r>
        <w:t>К числу таких тем относятся, например:</w:t>
      </w:r>
    </w:p>
    <w:p w:rsidR="00000000" w:rsidRDefault="00031207">
      <w:pPr>
        <w:numPr>
          <w:ilvl w:val="0"/>
          <w:numId w:val="3"/>
        </w:numPr>
        <w:spacing w:after="75"/>
        <w:ind w:left="1320"/>
        <w:divId w:val="549003781"/>
      </w:pPr>
      <w:r>
        <w:t>низкий уровень заработной платы служащего, работника и нехватка денежных средств на реализацию тех или иных нужд;</w:t>
      </w:r>
    </w:p>
    <w:p w:rsidR="00000000" w:rsidRDefault="00031207">
      <w:pPr>
        <w:numPr>
          <w:ilvl w:val="0"/>
          <w:numId w:val="3"/>
        </w:numPr>
        <w:spacing w:after="75"/>
        <w:ind w:left="1320"/>
        <w:divId w:val="549003781"/>
      </w:pPr>
      <w:r>
        <w:t>желание приобрести то или иное и</w:t>
      </w:r>
      <w:r>
        <w:t>мущество, получить ту или иную услугу, отправиться в туристическую поездку;</w:t>
      </w:r>
    </w:p>
    <w:p w:rsidR="00000000" w:rsidRDefault="00031207">
      <w:pPr>
        <w:numPr>
          <w:ilvl w:val="0"/>
          <w:numId w:val="3"/>
        </w:numPr>
        <w:spacing w:after="75"/>
        <w:ind w:left="1320"/>
        <w:divId w:val="549003781"/>
      </w:pPr>
      <w:r>
        <w:t>отсутствие работы у родственников служащего, работника;</w:t>
      </w:r>
    </w:p>
    <w:p w:rsidR="00000000" w:rsidRDefault="00031207">
      <w:pPr>
        <w:numPr>
          <w:ilvl w:val="0"/>
          <w:numId w:val="3"/>
        </w:numPr>
        <w:spacing w:after="75"/>
        <w:ind w:left="1320"/>
        <w:divId w:val="549003781"/>
      </w:pPr>
      <w:r>
        <w:t>необходимость поступления детей служащего, работника в образовательные учреждения и т.д.</w:t>
      </w:r>
    </w:p>
    <w:p w:rsidR="00000000" w:rsidRDefault="00031207">
      <w:pPr>
        <w:pStyle w:val="a3"/>
        <w:divId w:val="549003781"/>
      </w:pPr>
      <w:r>
        <w:t>в) указать служащим и работникам, ч</w:t>
      </w:r>
      <w:r>
        <w:t>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000000" w:rsidRDefault="00031207">
      <w:pPr>
        <w:pStyle w:val="a3"/>
        <w:divId w:val="549003781"/>
      </w:pPr>
      <w:r>
        <w:t>Это возможно даже в том случае, когда такие пред</w:t>
      </w:r>
      <w:r>
        <w:t>ложения продиктованы благими намерениями и никак не связаны с личной выгодой государственного служащего, работника.</w:t>
      </w:r>
    </w:p>
    <w:p w:rsidR="00000000" w:rsidRDefault="00031207">
      <w:pPr>
        <w:pStyle w:val="a3"/>
        <w:divId w:val="549003781"/>
      </w:pPr>
      <w:r>
        <w:t>К числу таких предложений относятся, например предложения:</w:t>
      </w:r>
    </w:p>
    <w:p w:rsidR="00000000" w:rsidRDefault="00031207">
      <w:pPr>
        <w:numPr>
          <w:ilvl w:val="0"/>
          <w:numId w:val="4"/>
        </w:numPr>
        <w:spacing w:after="75"/>
        <w:ind w:left="1320"/>
        <w:divId w:val="549003781"/>
      </w:pPr>
      <w:r>
        <w:t>предоставить служащему, работнику и/или его родственникам скидку;</w:t>
      </w:r>
    </w:p>
    <w:p w:rsidR="00000000" w:rsidRDefault="00031207">
      <w:pPr>
        <w:numPr>
          <w:ilvl w:val="0"/>
          <w:numId w:val="4"/>
        </w:numPr>
        <w:spacing w:after="75"/>
        <w:ind w:left="1320"/>
        <w:divId w:val="549003781"/>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000000" w:rsidRDefault="00031207">
      <w:pPr>
        <w:numPr>
          <w:ilvl w:val="0"/>
          <w:numId w:val="4"/>
        </w:numPr>
        <w:spacing w:after="75"/>
        <w:ind w:left="1320"/>
        <w:divId w:val="549003781"/>
      </w:pPr>
      <w:r>
        <w:t>внести деньги в конкретный благотворительный фонд;</w:t>
      </w:r>
    </w:p>
    <w:p w:rsidR="00000000" w:rsidRDefault="00031207">
      <w:pPr>
        <w:numPr>
          <w:ilvl w:val="0"/>
          <w:numId w:val="4"/>
        </w:numPr>
        <w:spacing w:after="75"/>
        <w:ind w:left="1320"/>
        <w:divId w:val="549003781"/>
      </w:pPr>
      <w:r>
        <w:t>поддержать конк</w:t>
      </w:r>
      <w:r>
        <w:t>ретную спортивную команду и т.д.</w:t>
      </w:r>
    </w:p>
    <w:p w:rsidR="00000000" w:rsidRDefault="00031207">
      <w:pPr>
        <w:pStyle w:val="a3"/>
        <w:divId w:val="549003781"/>
      </w:pPr>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000000" w:rsidRDefault="00031207">
      <w:pPr>
        <w:pStyle w:val="a3"/>
        <w:divId w:val="549003781"/>
      </w:pPr>
      <w:r>
        <w:t>К числу таких действий относятся, например:</w:t>
      </w:r>
    </w:p>
    <w:p w:rsidR="00000000" w:rsidRDefault="00031207">
      <w:pPr>
        <w:numPr>
          <w:ilvl w:val="0"/>
          <w:numId w:val="5"/>
        </w:numPr>
        <w:spacing w:after="75"/>
        <w:ind w:left="1320"/>
        <w:divId w:val="549003781"/>
      </w:pPr>
      <w:r>
        <w:t>регулярное получение под</w:t>
      </w:r>
      <w:r>
        <w:t>арков, даже (если речь идет не о государственном гражданском служащем) стоимостью менее 3000 рублей;</w:t>
      </w:r>
    </w:p>
    <w:p w:rsidR="00000000" w:rsidRDefault="00031207">
      <w:pPr>
        <w:numPr>
          <w:ilvl w:val="0"/>
          <w:numId w:val="5"/>
        </w:numPr>
        <w:spacing w:after="75"/>
        <w:ind w:left="1320"/>
        <w:divId w:val="549003781"/>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w:t>
      </w:r>
      <w:r>
        <w:t>ужащего или работника.</w:t>
      </w:r>
    </w:p>
    <w:p w:rsidR="00000000" w:rsidRDefault="00031207">
      <w:pPr>
        <w:pStyle w:val="a3"/>
        <w:divId w:val="549003781"/>
      </w:pPr>
      <w: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w:t>
      </w:r>
      <w:r>
        <w:t>дует отнести:</w:t>
      </w:r>
    </w:p>
    <w:p w:rsidR="00000000" w:rsidRDefault="00031207">
      <w:pPr>
        <w:pStyle w:val="a3"/>
        <w:divId w:val="549003781"/>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000000" w:rsidRDefault="00031207">
      <w:pPr>
        <w:pStyle w:val="a3"/>
        <w:divId w:val="549003781"/>
      </w:pPr>
      <w:r>
        <w:t>2) о типовых случаях конфликтов интересов и порядок их урегулирования;</w:t>
      </w:r>
    </w:p>
    <w:p w:rsidR="00000000" w:rsidRDefault="00031207">
      <w:pPr>
        <w:pStyle w:val="a3"/>
        <w:divId w:val="549003781"/>
      </w:pPr>
      <w:r>
        <w:t>3) поведение,</w:t>
      </w:r>
      <w:r>
        <w:t xml:space="preserve">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000000" w:rsidRDefault="00031207">
      <w:pPr>
        <w:pStyle w:val="a3"/>
        <w:divId w:val="549003781"/>
      </w:pPr>
      <w:r>
        <w:rPr>
          <w:u w:val="single"/>
        </w:rPr>
        <w:t>3. Закрепление в локаль</w:t>
      </w:r>
      <w:r>
        <w:rPr>
          <w:u w:val="single"/>
        </w:rPr>
        <w:t>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000000" w:rsidRDefault="00031207">
      <w:pPr>
        <w:pStyle w:val="a3"/>
        <w:divId w:val="549003781"/>
      </w:pPr>
      <w:r>
        <w:t>При организации мероприятий по обозначе</w:t>
      </w:r>
      <w:r>
        <w:t>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000000" w:rsidRDefault="00031207">
      <w:pPr>
        <w:pStyle w:val="a3"/>
        <w:divId w:val="549003781"/>
      </w:pPr>
      <w:r>
        <w:t>На начальном этапе разработки акта, рекомендуется обе</w:t>
      </w:r>
      <w:r>
        <w:t>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w:t>
      </w:r>
      <w:r>
        <w:t>чу с работниками или служащими.</w:t>
      </w:r>
    </w:p>
    <w:p w:rsidR="00000000" w:rsidRDefault="00031207">
      <w:pPr>
        <w:pStyle w:val="a3"/>
        <w:divId w:val="549003781"/>
      </w:pPr>
      <w: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w:t>
      </w:r>
      <w:r>
        <w:t xml:space="preserve">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w:t>
      </w:r>
      <w:r>
        <w:t>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w:t>
      </w:r>
      <w:r>
        <w:t>оложений локальных правовых актов.</w:t>
      </w:r>
    </w:p>
    <w:p w:rsidR="00000000" w:rsidRDefault="00031207">
      <w:pPr>
        <w:pStyle w:val="a3"/>
        <w:divId w:val="549003781"/>
      </w:pPr>
      <w: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w:t>
      </w:r>
      <w:r>
        <w:t>иям.</w:t>
      </w:r>
    </w:p>
    <w:p w:rsidR="00000000" w:rsidRDefault="00031207">
      <w:pPr>
        <w:pStyle w:val="a3"/>
        <w:divId w:val="549003781"/>
      </w:pPr>
      <w:r>
        <w:t xml:space="preserve">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w:t>
      </w:r>
      <w:r>
        <w:t>служащих и работников не только отказываться от предложений взятки, но и сообщать о лицах, ее предложивших.</w:t>
      </w:r>
    </w:p>
    <w:p w:rsidR="00000000" w:rsidRDefault="00031207">
      <w:pPr>
        <w:pStyle w:val="a3"/>
        <w:divId w:val="549003781"/>
      </w:pPr>
      <w:r>
        <w:t>В связи с этим необходимо, в частности:</w:t>
      </w:r>
    </w:p>
    <w:p w:rsidR="00000000" w:rsidRDefault="00031207">
      <w:pPr>
        <w:numPr>
          <w:ilvl w:val="0"/>
          <w:numId w:val="6"/>
        </w:numPr>
        <w:spacing w:after="75"/>
        <w:ind w:left="1320"/>
        <w:divId w:val="549003781"/>
      </w:pPr>
      <w:r>
        <w:t>закрепить требования о конфиденциальности информации о личности заявителя;</w:t>
      </w:r>
    </w:p>
    <w:p w:rsidR="00000000" w:rsidRDefault="00031207">
      <w:pPr>
        <w:numPr>
          <w:ilvl w:val="0"/>
          <w:numId w:val="6"/>
        </w:numPr>
        <w:spacing w:after="75"/>
        <w:ind w:left="1320"/>
        <w:divId w:val="549003781"/>
      </w:pPr>
      <w:r>
        <w:t>установить режим доступа к журнал</w:t>
      </w:r>
      <w:r>
        <w:t>у входящей корреспонденции, содержащему данные, позволяющие идентифицировать личность заявителя;</w:t>
      </w:r>
    </w:p>
    <w:p w:rsidR="00000000" w:rsidRDefault="00031207">
      <w:pPr>
        <w:numPr>
          <w:ilvl w:val="0"/>
          <w:numId w:val="6"/>
        </w:numPr>
        <w:spacing w:after="75"/>
        <w:ind w:left="1320"/>
        <w:divId w:val="549003781"/>
      </w:pPr>
      <w: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w:t>
      </w:r>
      <w:r>
        <w:t>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000000" w:rsidRDefault="00031207">
      <w:pPr>
        <w:pStyle w:val="a3"/>
        <w:divId w:val="549003781"/>
      </w:pPr>
      <w:r>
        <w:rPr>
          <w:u w:val="single"/>
        </w:rPr>
        <w:t>4. Обеспечение открытости деятельности органов государственной власти, местного самоуправления, гос</w:t>
      </w:r>
      <w:r>
        <w:rPr>
          <w:u w:val="single"/>
        </w:rPr>
        <w:t>ударственных внебюджетных фондов и иных организаций, включая внедрение мер общественного контроля.</w:t>
      </w:r>
    </w:p>
    <w:p w:rsidR="00000000" w:rsidRDefault="00031207">
      <w:pPr>
        <w:pStyle w:val="a3"/>
        <w:divId w:val="549003781"/>
      </w:pPr>
      <w:r>
        <w:t>В число мер по реализации данного направления необходимо включить следующие.</w:t>
      </w:r>
    </w:p>
    <w:p w:rsidR="00000000" w:rsidRDefault="00031207">
      <w:pPr>
        <w:pStyle w:val="a3"/>
        <w:divId w:val="549003781"/>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000000" w:rsidRDefault="00031207">
      <w:pPr>
        <w:numPr>
          <w:ilvl w:val="0"/>
          <w:numId w:val="7"/>
        </w:numPr>
        <w:spacing w:after="75"/>
        <w:ind w:left="1320"/>
        <w:divId w:val="549003781"/>
      </w:pPr>
      <w:r>
        <w:t xml:space="preserve">дача взятки должностному лицу наказывается </w:t>
      </w:r>
      <w:r>
        <w:t>лишением свободы.</w:t>
      </w:r>
    </w:p>
    <w:p w:rsidR="00000000" w:rsidRDefault="00031207">
      <w:pPr>
        <w:numPr>
          <w:ilvl w:val="0"/>
          <w:numId w:val="7"/>
        </w:numPr>
        <w:spacing w:after="75"/>
        <w:ind w:left="1320"/>
        <w:divId w:val="549003781"/>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000000" w:rsidRDefault="00031207">
      <w:pPr>
        <w:numPr>
          <w:ilvl w:val="0"/>
          <w:numId w:val="7"/>
        </w:numPr>
        <w:spacing w:after="75"/>
        <w:ind w:left="1320"/>
        <w:divId w:val="549003781"/>
      </w:pPr>
      <w:r>
        <w:t>государственному служащему запрещается принимать подарки в связи с исполнением служеб</w:t>
      </w:r>
      <w:r>
        <w:t>ных обязанностей вне зависимости от стоимости подарка.</w:t>
      </w:r>
    </w:p>
    <w:p w:rsidR="00000000" w:rsidRDefault="00031207">
      <w:pPr>
        <w:pStyle w:val="a3"/>
        <w:divId w:val="549003781"/>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w:t>
      </w:r>
      <w:r>
        <w:t>ужащих и работников.</w:t>
      </w:r>
    </w:p>
    <w:p w:rsidR="00000000" w:rsidRDefault="00031207">
      <w:pPr>
        <w:pStyle w:val="a3"/>
        <w:divId w:val="549003781"/>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w:t>
      </w:r>
      <w:r>
        <w:t>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031207" w:rsidRDefault="00031207">
      <w:pPr>
        <w:pStyle w:val="a3"/>
        <w:divId w:val="549003781"/>
      </w:pPr>
      <w:r>
        <w:t>Оборудовать места предоставления государственных услуг средствами, позволяющими избежать прояв</w:t>
      </w:r>
      <w:r>
        <w:t>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бежать проявлений служащими и работниками поведения, которое может</w:t>
      </w:r>
      <w:r>
        <w:t xml:space="preserve"> восприниматься окружающими как обещание или предложение дачи взятки либо как согласие принять взятку или как просьба о даче взятки.    </w:t>
      </w:r>
    </w:p>
    <w:sectPr w:rsidR="00031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4F2"/>
    <w:multiLevelType w:val="multilevel"/>
    <w:tmpl w:val="ACDE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627F3"/>
    <w:multiLevelType w:val="multilevel"/>
    <w:tmpl w:val="B020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C336B"/>
    <w:multiLevelType w:val="multilevel"/>
    <w:tmpl w:val="7A6A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42FB6"/>
    <w:multiLevelType w:val="multilevel"/>
    <w:tmpl w:val="2C00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10FAA"/>
    <w:multiLevelType w:val="multilevel"/>
    <w:tmpl w:val="5B68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9243D"/>
    <w:multiLevelType w:val="multilevel"/>
    <w:tmpl w:val="E68C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D689F"/>
    <w:multiLevelType w:val="multilevel"/>
    <w:tmpl w:val="BF4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08"/>
  <w:characterSpacingControl w:val="doNotCompress"/>
  <w:compat>
    <w:compatSetting w:name="compatibilityMode" w:uri="http://schemas.microsoft.com/office/word" w:val="14"/>
  </w:compat>
  <w:rsids>
    <w:rsidRoot w:val="000029FC"/>
    <w:rsid w:val="000029FC"/>
    <w:rsid w:val="0003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rFonts w:eastAsiaTheme="minorEastAsia"/>
      <w:bCs/>
      <w:kern w:val="36"/>
      <w:sz w:val="40"/>
      <w:szCs w:val="48"/>
    </w:rPr>
  </w:style>
  <w:style w:type="paragraph" w:styleId="2">
    <w:name w:val="heading 2"/>
    <w:basedOn w:val="a"/>
    <w:link w:val="20"/>
    <w:qFormat/>
    <w:pPr>
      <w:spacing w:before="100" w:beforeAutospacing="1" w:after="100" w:afterAutospacing="1"/>
      <w:outlineLvl w:val="1"/>
    </w:pPr>
    <w:rPr>
      <w:rFonts w:eastAsiaTheme="minorEastAsia"/>
      <w:bCs/>
      <w:sz w:val="22"/>
      <w:szCs w:val="36"/>
    </w:rPr>
  </w:style>
  <w:style w:type="paragraph" w:styleId="3">
    <w:name w:val="heading 3"/>
    <w:basedOn w:val="a"/>
    <w:link w:val="30"/>
    <w:qFormat/>
    <w:pPr>
      <w:spacing w:before="360" w:after="240"/>
      <w:outlineLvl w:val="2"/>
    </w:pPr>
    <w:rPr>
      <w:rFonts w:eastAsiaTheme="minorEastAsia"/>
      <w:sz w:val="28"/>
      <w:szCs w:val="28"/>
    </w:rPr>
  </w:style>
  <w:style w:type="paragraph" w:styleId="4">
    <w:name w:val="heading 4"/>
    <w:basedOn w:val="a"/>
    <w:link w:val="40"/>
    <w:qFormat/>
    <w:pPr>
      <w:spacing w:before="360" w:after="240"/>
      <w:outlineLvl w:val="3"/>
    </w:pPr>
    <w:rPr>
      <w:rFonts w:eastAsiaTheme="minorEastAsia"/>
      <w:b/>
      <w:bCs/>
    </w:rPr>
  </w:style>
  <w:style w:type="paragraph" w:styleId="5">
    <w:name w:val="heading 5"/>
    <w:basedOn w:val="a"/>
    <w:link w:val="50"/>
    <w:qFormat/>
    <w:pPr>
      <w:spacing w:before="100" w:beforeAutospacing="1" w:after="100" w:afterAutospacing="1"/>
      <w:ind w:left="5664"/>
      <w:outlineLvl w:val="4"/>
    </w:pPr>
    <w:rPr>
      <w:rFonts w:eastAsiaTheme="minorEastAsia"/>
      <w:bCs/>
      <w:szCs w:val="20"/>
    </w:rPr>
  </w:style>
  <w:style w:type="paragraph" w:styleId="6">
    <w:name w:val="heading 6"/>
    <w:basedOn w:val="a"/>
    <w:link w:val="60"/>
    <w:autoRedefine/>
    <w:qFormat/>
    <w:pPr>
      <w:spacing w:before="100" w:beforeAutospacing="1" w:after="100" w:afterAutospacing="1"/>
      <w:outlineLvl w:val="5"/>
    </w:pPr>
    <w:rPr>
      <w:rFonts w:ascii="Arial" w:eastAsiaTheme="minorEastAsia" w:hAnsi="Arial"/>
      <w:bCs/>
      <w:color w:val="777777"/>
      <w:sz w:val="20"/>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locked/>
    <w:rPr>
      <w:bCs/>
      <w:sz w:val="24"/>
      <w:lang w:val="ru-RU" w:eastAsia="ru-RU" w:bidi="ar-SA"/>
    </w:rPr>
  </w:style>
  <w:style w:type="character" w:customStyle="1" w:styleId="60">
    <w:name w:val="Заголовок 6 Знак"/>
    <w:basedOn w:val="a0"/>
    <w:link w:val="6"/>
    <w:rPr>
      <w:rFonts w:asciiTheme="majorHAnsi" w:eastAsiaTheme="majorEastAsia" w:hAnsiTheme="majorHAnsi" w:cstheme="majorBidi"/>
      <w:i/>
      <w:iCs/>
      <w:color w:val="243F60" w:themeColor="accent1" w:themeShade="7F"/>
      <w:sz w:val="24"/>
      <w:szCs w:val="24"/>
    </w:rPr>
  </w:style>
  <w:style w:type="paragraph" w:styleId="a3">
    <w:name w:val="Normal (Web)"/>
    <w:basedOn w:val="a"/>
    <w:pPr>
      <w:spacing w:before="100" w:beforeAutospacing="1" w:after="100" w:afterAutospacing="1"/>
    </w:pPr>
  </w:style>
  <w:style w:type="paragraph" w:customStyle="1" w:styleId="shorttitle">
    <w:name w:val="shorttitle"/>
    <w:basedOn w:val="a"/>
    <w:pPr>
      <w:spacing w:after="300"/>
    </w:pPr>
    <w:rPr>
      <w:i/>
      <w:iCs/>
    </w:rPr>
  </w:style>
  <w:style w:type="character" w:styleId="a4">
    <w:name w:val="Hyperlink"/>
    <w:basedOn w:val="a0"/>
    <w:rPr>
      <w:color w:val="0000FF"/>
      <w:u w:val="single"/>
    </w:rPr>
  </w:style>
  <w:style w:type="character" w:styleId="a5">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rFonts w:eastAsiaTheme="minorEastAsia"/>
      <w:bCs/>
      <w:kern w:val="36"/>
      <w:sz w:val="40"/>
      <w:szCs w:val="48"/>
    </w:rPr>
  </w:style>
  <w:style w:type="paragraph" w:styleId="2">
    <w:name w:val="heading 2"/>
    <w:basedOn w:val="a"/>
    <w:link w:val="20"/>
    <w:qFormat/>
    <w:pPr>
      <w:spacing w:before="100" w:beforeAutospacing="1" w:after="100" w:afterAutospacing="1"/>
      <w:outlineLvl w:val="1"/>
    </w:pPr>
    <w:rPr>
      <w:rFonts w:eastAsiaTheme="minorEastAsia"/>
      <w:bCs/>
      <w:sz w:val="22"/>
      <w:szCs w:val="36"/>
    </w:rPr>
  </w:style>
  <w:style w:type="paragraph" w:styleId="3">
    <w:name w:val="heading 3"/>
    <w:basedOn w:val="a"/>
    <w:link w:val="30"/>
    <w:qFormat/>
    <w:pPr>
      <w:spacing w:before="360" w:after="240"/>
      <w:outlineLvl w:val="2"/>
    </w:pPr>
    <w:rPr>
      <w:rFonts w:eastAsiaTheme="minorEastAsia"/>
      <w:sz w:val="28"/>
      <w:szCs w:val="28"/>
    </w:rPr>
  </w:style>
  <w:style w:type="paragraph" w:styleId="4">
    <w:name w:val="heading 4"/>
    <w:basedOn w:val="a"/>
    <w:link w:val="40"/>
    <w:qFormat/>
    <w:pPr>
      <w:spacing w:before="360" w:after="240"/>
      <w:outlineLvl w:val="3"/>
    </w:pPr>
    <w:rPr>
      <w:rFonts w:eastAsiaTheme="minorEastAsia"/>
      <w:b/>
      <w:bCs/>
    </w:rPr>
  </w:style>
  <w:style w:type="paragraph" w:styleId="5">
    <w:name w:val="heading 5"/>
    <w:basedOn w:val="a"/>
    <w:link w:val="50"/>
    <w:qFormat/>
    <w:pPr>
      <w:spacing w:before="100" w:beforeAutospacing="1" w:after="100" w:afterAutospacing="1"/>
      <w:ind w:left="5664"/>
      <w:outlineLvl w:val="4"/>
    </w:pPr>
    <w:rPr>
      <w:rFonts w:eastAsiaTheme="minorEastAsia"/>
      <w:bCs/>
      <w:szCs w:val="20"/>
    </w:rPr>
  </w:style>
  <w:style w:type="paragraph" w:styleId="6">
    <w:name w:val="heading 6"/>
    <w:basedOn w:val="a"/>
    <w:link w:val="60"/>
    <w:autoRedefine/>
    <w:qFormat/>
    <w:pPr>
      <w:spacing w:before="100" w:beforeAutospacing="1" w:after="100" w:afterAutospacing="1"/>
      <w:outlineLvl w:val="5"/>
    </w:pPr>
    <w:rPr>
      <w:rFonts w:ascii="Arial" w:eastAsiaTheme="minorEastAsia" w:hAnsi="Arial"/>
      <w:bCs/>
      <w:color w:val="777777"/>
      <w:sz w:val="20"/>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locked/>
    <w:rPr>
      <w:bCs/>
      <w:sz w:val="24"/>
      <w:lang w:val="ru-RU" w:eastAsia="ru-RU" w:bidi="ar-SA"/>
    </w:rPr>
  </w:style>
  <w:style w:type="character" w:customStyle="1" w:styleId="60">
    <w:name w:val="Заголовок 6 Знак"/>
    <w:basedOn w:val="a0"/>
    <w:link w:val="6"/>
    <w:rPr>
      <w:rFonts w:asciiTheme="majorHAnsi" w:eastAsiaTheme="majorEastAsia" w:hAnsiTheme="majorHAnsi" w:cstheme="majorBidi"/>
      <w:i/>
      <w:iCs/>
      <w:color w:val="243F60" w:themeColor="accent1" w:themeShade="7F"/>
      <w:sz w:val="24"/>
      <w:szCs w:val="24"/>
    </w:rPr>
  </w:style>
  <w:style w:type="paragraph" w:styleId="a3">
    <w:name w:val="Normal (Web)"/>
    <w:basedOn w:val="a"/>
    <w:pPr>
      <w:spacing w:before="100" w:beforeAutospacing="1" w:after="100" w:afterAutospacing="1"/>
    </w:pPr>
  </w:style>
  <w:style w:type="paragraph" w:customStyle="1" w:styleId="shorttitle">
    <w:name w:val="shorttitle"/>
    <w:basedOn w:val="a"/>
    <w:pPr>
      <w:spacing w:after="300"/>
    </w:pPr>
    <w:rPr>
      <w:i/>
      <w:iCs/>
    </w:rPr>
  </w:style>
  <w:style w:type="character" w:styleId="a4">
    <w:name w:val="Hyperlink"/>
    <w:basedOn w:val="a0"/>
    <w:rPr>
      <w:color w:val="0000FF"/>
      <w:u w:val="single"/>
    </w:rPr>
  </w:style>
  <w:style w:type="character" w:styleId="a5">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3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mintrud.ru/ministry/programms/gossluzhba/antikorr/5/0"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Информация Минтруда России от 4 марта 2013 г.</vt:lpstr>
    </vt:vector>
  </TitlesOfParts>
  <Company/>
  <LinksUpToDate>false</LinksUpToDate>
  <CharactersWithSpaces>31270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Минтруда России от 4 марта 2013 г.</dc:title>
  <dc:creator>Минздравсоцразвития</dc:creator>
  <cp:lastModifiedBy>user</cp:lastModifiedBy>
  <cp:revision>2</cp:revision>
  <dcterms:created xsi:type="dcterms:W3CDTF">2016-11-10T10:39:00Z</dcterms:created>
  <dcterms:modified xsi:type="dcterms:W3CDTF">2016-11-10T10:39:00Z</dcterms:modified>
</cp:coreProperties>
</file>